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</w:pPr>
    </w:p>
    <w:p>
      <w:pPr>
        <w:pStyle w:val="BodyText"/>
        <w:spacing w:before="168"/>
      </w:pPr>
    </w:p>
    <w:p>
      <w:pPr>
        <w:pStyle w:val="Heading1"/>
      </w:pPr>
      <w:r>
        <w:rPr/>
        <w:t>Activity</w:t>
      </w:r>
      <w:r>
        <w:rPr>
          <w:spacing w:val="-8"/>
        </w:rPr>
        <w:t> </w:t>
      </w:r>
      <w:r>
        <w:rPr/>
        <w:t>No</w:t>
      </w:r>
      <w:r>
        <w:rPr>
          <w:spacing w:val="-6"/>
        </w:rPr>
        <w:t> </w:t>
      </w:r>
      <w:r>
        <w:rPr/>
        <w:t>2.Finance</w:t>
      </w:r>
      <w:r>
        <w:rPr>
          <w:spacing w:val="-6"/>
        </w:rPr>
        <w:t> </w:t>
      </w:r>
      <w:r>
        <w:rPr/>
        <w:t>Club</w:t>
      </w:r>
      <w:r>
        <w:rPr>
          <w:spacing w:val="-5"/>
        </w:rPr>
        <w:t> </w:t>
      </w:r>
      <w:r>
        <w:rPr/>
        <w:t>Event</w:t>
      </w:r>
      <w:r>
        <w:rPr>
          <w:spacing w:val="-6"/>
        </w:rPr>
        <w:t> </w:t>
      </w:r>
      <w:r>
        <w:rPr/>
        <w:t>“The</w:t>
      </w:r>
      <w:r>
        <w:rPr>
          <w:spacing w:val="-6"/>
        </w:rPr>
        <w:t> </w:t>
      </w:r>
      <w:r>
        <w:rPr/>
        <w:t>Balanced</w:t>
      </w:r>
      <w:r>
        <w:rPr>
          <w:spacing w:val="-5"/>
        </w:rPr>
        <w:t> </w:t>
      </w:r>
      <w:r>
        <w:rPr>
          <w:spacing w:val="-2"/>
        </w:rPr>
        <w:t>Budget”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79"/>
        <w:rPr>
          <w:b/>
          <w:sz w:val="20"/>
        </w:rPr>
      </w:pPr>
    </w:p>
    <w:tbl>
      <w:tblPr>
        <w:tblW w:w="0" w:type="auto"/>
        <w:jc w:val="lef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2660"/>
        <w:gridCol w:w="5530"/>
      </w:tblGrid>
      <w:tr>
        <w:trPr>
          <w:trHeight w:val="959" w:hRule="atLeast"/>
        </w:trPr>
        <w:tc>
          <w:tcPr>
            <w:tcW w:w="2600" w:type="dxa"/>
          </w:tcPr>
          <w:p>
            <w:pPr>
              <w:pStyle w:val="TableParagraph"/>
              <w:spacing w:before="251"/>
              <w:rPr>
                <w:sz w:val="22"/>
              </w:rPr>
            </w:pPr>
            <w:r>
              <w:rPr>
                <w:sz w:val="22"/>
              </w:rPr>
              <w:t>Title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Event</w:t>
            </w:r>
          </w:p>
        </w:tc>
        <w:tc>
          <w:tcPr>
            <w:tcW w:w="2660" w:type="dxa"/>
          </w:tcPr>
          <w:p>
            <w:pPr>
              <w:pStyle w:val="TableParagraph"/>
              <w:ind w:left="104" w:right="368"/>
              <w:rPr>
                <w:sz w:val="22"/>
              </w:rPr>
            </w:pPr>
            <w:r>
              <w:rPr>
                <w:sz w:val="22"/>
              </w:rPr>
              <w:t>Finance Club Event “The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Balanced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Budget”</w:t>
            </w:r>
          </w:p>
        </w:tc>
        <w:tc>
          <w:tcPr>
            <w:tcW w:w="5530" w:type="dxa"/>
            <w:vMerge w:val="restart"/>
            <w:tcBorders>
              <w:right w:val="nil"/>
            </w:tcBorders>
          </w:tcPr>
          <w:p>
            <w:pPr>
              <w:pStyle w:val="TableParagraph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74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23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984840" cy="2034254"/>
                  <wp:effectExtent l="0" t="0" r="0" b="0"/>
                  <wp:docPr id="2" name="Image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840" cy="2034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899" w:hRule="atLeast"/>
        </w:trPr>
        <w:tc>
          <w:tcPr>
            <w:tcW w:w="2600" w:type="dxa"/>
          </w:tcPr>
          <w:p>
            <w:pPr>
              <w:pStyle w:val="TableParagraph"/>
              <w:spacing w:before="8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Date</w:t>
            </w:r>
          </w:p>
        </w:tc>
        <w:tc>
          <w:tcPr>
            <w:tcW w:w="2660" w:type="dxa"/>
          </w:tcPr>
          <w:p>
            <w:pPr>
              <w:pStyle w:val="TableParagraph"/>
              <w:spacing w:before="8"/>
              <w:ind w:left="104"/>
              <w:rPr>
                <w:sz w:val="22"/>
              </w:rPr>
            </w:pPr>
            <w:r>
              <w:rPr>
                <w:spacing w:val="-2"/>
                <w:sz w:val="22"/>
              </w:rPr>
              <w:t>30.12.25</w:t>
            </w:r>
          </w:p>
        </w:tc>
        <w:tc>
          <w:tcPr>
            <w:tcW w:w="553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0" w:hRule="atLeast"/>
        </w:trPr>
        <w:tc>
          <w:tcPr>
            <w:tcW w:w="2600" w:type="dxa"/>
          </w:tcPr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Venue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(With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details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0"/>
                <w:sz w:val="22"/>
              </w:rPr>
              <w:t>)</w:t>
            </w:r>
          </w:p>
        </w:tc>
        <w:tc>
          <w:tcPr>
            <w:tcW w:w="2660" w:type="dxa"/>
          </w:tcPr>
          <w:p>
            <w:pPr>
              <w:pStyle w:val="TableParagraph"/>
              <w:spacing w:before="3"/>
              <w:ind w:left="104"/>
              <w:rPr>
                <w:sz w:val="22"/>
              </w:rPr>
            </w:pPr>
            <w:r>
              <w:rPr>
                <w:sz w:val="22"/>
              </w:rPr>
              <w:t>Roon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No-</w:t>
            </w:r>
            <w:r>
              <w:rPr>
                <w:spacing w:val="-5"/>
                <w:sz w:val="22"/>
              </w:rPr>
              <w:t>407</w:t>
            </w:r>
          </w:p>
        </w:tc>
        <w:tc>
          <w:tcPr>
            <w:tcW w:w="553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40" w:hRule="atLeast"/>
        </w:trPr>
        <w:tc>
          <w:tcPr>
            <w:tcW w:w="2600" w:type="dxa"/>
          </w:tcPr>
          <w:p>
            <w:pPr>
              <w:pStyle w:val="TableParagraph"/>
              <w:spacing w:before="8"/>
              <w:ind w:firstLine="54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collaboration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if </w:t>
            </w:r>
            <w:r>
              <w:rPr>
                <w:spacing w:val="-4"/>
                <w:sz w:val="22"/>
              </w:rPr>
              <w:t>any)</w:t>
            </w:r>
          </w:p>
        </w:tc>
        <w:tc>
          <w:tcPr>
            <w:tcW w:w="2660" w:type="dxa"/>
          </w:tcPr>
          <w:p>
            <w:pPr>
              <w:pStyle w:val="TableParagraph"/>
              <w:spacing w:before="8"/>
              <w:ind w:left="104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553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9" w:hRule="atLeast"/>
        </w:trPr>
        <w:tc>
          <w:tcPr>
            <w:tcW w:w="2600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Details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Resource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Person With Designation</w:t>
            </w:r>
          </w:p>
        </w:tc>
        <w:tc>
          <w:tcPr>
            <w:tcW w:w="2660" w:type="dxa"/>
          </w:tcPr>
          <w:p>
            <w:pPr>
              <w:pStyle w:val="TableParagraph"/>
              <w:spacing w:before="7"/>
              <w:ind w:left="104"/>
              <w:rPr>
                <w:sz w:val="22"/>
              </w:rPr>
            </w:pPr>
            <w:r>
              <w:rPr>
                <w:sz w:val="22"/>
              </w:rPr>
              <w:t>Asst.Prof.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Ritu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U</w:t>
            </w:r>
          </w:p>
        </w:tc>
        <w:tc>
          <w:tcPr>
            <w:tcW w:w="5530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6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495550" cy="2352675"/>
                  <wp:effectExtent l="0" t="0" r="0" b="0"/>
                  <wp:docPr id="3" name="Image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0" cy="2352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779" w:hRule="atLeast"/>
        </w:trPr>
        <w:tc>
          <w:tcPr>
            <w:tcW w:w="26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Organizing Department/Coordinators</w:t>
            </w:r>
          </w:p>
        </w:tc>
        <w:tc>
          <w:tcPr>
            <w:tcW w:w="2660" w:type="dxa"/>
          </w:tcPr>
          <w:p>
            <w:pPr>
              <w:pStyle w:val="TableParagraph"/>
              <w:ind w:left="104" w:right="368"/>
              <w:rPr>
                <w:sz w:val="22"/>
              </w:rPr>
            </w:pPr>
            <w:r>
              <w:rPr>
                <w:sz w:val="22"/>
              </w:rPr>
              <w:t>Business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. Asst.Prof. Ritu U</w:t>
            </w:r>
          </w:p>
        </w:tc>
        <w:tc>
          <w:tcPr>
            <w:tcW w:w="553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0" w:hRule="atLeast"/>
        </w:trPr>
        <w:tc>
          <w:tcPr>
            <w:tcW w:w="2600" w:type="dxa"/>
          </w:tcPr>
          <w:p>
            <w:pPr>
              <w:pStyle w:val="TableParagraph"/>
              <w:spacing w:before="7"/>
              <w:rPr>
                <w:sz w:val="22"/>
              </w:rPr>
            </w:pPr>
            <w:r>
              <w:rPr>
                <w:sz w:val="22"/>
              </w:rPr>
              <w:t>Course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semester</w:t>
            </w:r>
          </w:p>
        </w:tc>
        <w:tc>
          <w:tcPr>
            <w:tcW w:w="2660" w:type="dxa"/>
          </w:tcPr>
          <w:p>
            <w:pPr>
              <w:pStyle w:val="TableParagraph"/>
              <w:spacing w:before="7"/>
              <w:ind w:left="104"/>
              <w:rPr>
                <w:sz w:val="22"/>
              </w:rPr>
            </w:pPr>
            <w:r>
              <w:rPr>
                <w:sz w:val="22"/>
              </w:rPr>
              <w:t>MBA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Semester</w:t>
            </w:r>
          </w:p>
        </w:tc>
        <w:tc>
          <w:tcPr>
            <w:tcW w:w="553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20" w:hRule="atLeast"/>
        </w:trPr>
        <w:tc>
          <w:tcPr>
            <w:tcW w:w="2600" w:type="dxa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Students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Faculty </w:t>
            </w:r>
            <w:r>
              <w:rPr>
                <w:spacing w:val="-2"/>
                <w:sz w:val="22"/>
              </w:rPr>
              <w:t>Participants</w:t>
            </w:r>
          </w:p>
        </w:tc>
        <w:tc>
          <w:tcPr>
            <w:tcW w:w="2660" w:type="dxa"/>
          </w:tcPr>
          <w:p>
            <w:pPr>
              <w:pStyle w:val="TableParagraph"/>
              <w:spacing w:before="2"/>
              <w:ind w:left="104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553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96"/>
        <w:rPr>
          <w:b/>
        </w:rPr>
      </w:pPr>
    </w:p>
    <w:p>
      <w:pPr>
        <w:pStyle w:val="BodyText"/>
        <w:tabs>
          <w:tab w:pos="3095" w:val="left" w:leader="none"/>
          <w:tab w:pos="4952" w:val="left" w:leader="none"/>
          <w:tab w:pos="8419" w:val="left" w:leader="none"/>
        </w:tabs>
      </w:pPr>
      <w:r>
        <w:rPr>
          <w:spacing w:val="-2"/>
        </w:rPr>
        <w:t>Coordinator</w:t>
      </w:r>
      <w:r>
        <w:rPr/>
        <w:tab/>
      </w:r>
      <w:r>
        <w:rPr>
          <w:spacing w:val="-5"/>
        </w:rPr>
        <w:t>HoD</w:t>
      </w:r>
      <w:r>
        <w:rPr/>
        <w:tab/>
      </w:r>
      <w:r>
        <w:rPr>
          <w:spacing w:val="-5"/>
        </w:rPr>
        <w:t>Vice-</w:t>
      </w:r>
      <w:r>
        <w:rPr>
          <w:spacing w:val="-2"/>
        </w:rPr>
        <w:t>Principal</w:t>
      </w:r>
      <w:r>
        <w:rPr/>
        <w:tab/>
      </w:r>
      <w:r>
        <w:rPr>
          <w:spacing w:val="-2"/>
        </w:rPr>
        <w:t>Principal</w:t>
      </w:r>
    </w:p>
    <w:p>
      <w:pPr>
        <w:pStyle w:val="BodyText"/>
        <w:spacing w:after="0"/>
        <w:sectPr>
          <w:headerReference w:type="default" r:id="rId5"/>
          <w:type w:val="continuous"/>
          <w:pgSz w:w="12240" w:h="15840"/>
          <w:pgMar w:header="587" w:footer="0" w:top="1900" w:bottom="280" w:left="1440" w:right="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4"/>
        <w:rPr>
          <w:sz w:val="20"/>
        </w:rPr>
      </w:pPr>
    </w:p>
    <w:p>
      <w:pPr>
        <w:spacing w:line="240" w:lineRule="auto"/>
        <w:ind w:left="3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110073" cy="2707576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0073" cy="2707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150"/>
      </w:pPr>
    </w:p>
    <w:p>
      <w:pPr>
        <w:pStyle w:val="Heading1"/>
      </w:pPr>
      <w:r>
        <w:rPr>
          <w:spacing w:val="-2"/>
        </w:rPr>
        <w:t>Introduction</w:t>
      </w:r>
    </w:p>
    <w:p>
      <w:pPr>
        <w:pStyle w:val="BodyText"/>
        <w:spacing w:line="259" w:lineRule="auto" w:before="4"/>
        <w:ind w:right="1415"/>
        <w:rPr>
          <w:rFonts w:ascii="Calibri"/>
        </w:rPr>
      </w:pPr>
      <w:r>
        <w:rPr>
          <w:rFonts w:ascii="Calibri"/>
        </w:rPr>
        <w:t>On December 26, 2026, the Finance Club held an educational workshop from 3:00 PM to 3:30 PM centered on the 50/30/20 budgeting framework. This session aimed to provide students with a simplified,</w:t>
      </w:r>
      <w:r>
        <w:rPr>
          <w:rFonts w:ascii="Calibri"/>
          <w:spacing w:val="-7"/>
        </w:rPr>
        <w:t> </w:t>
      </w:r>
      <w:r>
        <w:rPr>
          <w:rFonts w:ascii="Calibri"/>
        </w:rPr>
        <w:t>actionable</w:t>
      </w:r>
      <w:r>
        <w:rPr>
          <w:rFonts w:ascii="Calibri"/>
          <w:spacing w:val="-7"/>
        </w:rPr>
        <w:t> </w:t>
      </w:r>
      <w:r>
        <w:rPr>
          <w:rFonts w:ascii="Calibri"/>
        </w:rPr>
        <w:t>strategy</w:t>
      </w:r>
      <w:r>
        <w:rPr>
          <w:rFonts w:ascii="Calibri"/>
          <w:spacing w:val="-7"/>
        </w:rPr>
        <w:t> </w:t>
      </w:r>
      <w:r>
        <w:rPr>
          <w:rFonts w:ascii="Calibri"/>
        </w:rPr>
        <w:t>for</w:t>
      </w:r>
      <w:r>
        <w:rPr>
          <w:rFonts w:ascii="Calibri"/>
          <w:spacing w:val="-7"/>
        </w:rPr>
        <w:t> </w:t>
      </w:r>
      <w:r>
        <w:rPr>
          <w:rFonts w:ascii="Calibri"/>
        </w:rPr>
        <w:t>managing</w:t>
      </w:r>
      <w:r>
        <w:rPr>
          <w:rFonts w:ascii="Calibri"/>
          <w:spacing w:val="-7"/>
        </w:rPr>
        <w:t> </w:t>
      </w:r>
      <w:r>
        <w:rPr>
          <w:rFonts w:ascii="Calibri"/>
        </w:rPr>
        <w:t>their</w:t>
      </w:r>
      <w:r>
        <w:rPr>
          <w:rFonts w:ascii="Calibri"/>
          <w:spacing w:val="-7"/>
        </w:rPr>
        <w:t> </w:t>
      </w:r>
      <w:r>
        <w:rPr>
          <w:rFonts w:ascii="Calibri"/>
        </w:rPr>
        <w:t>future</w:t>
      </w:r>
      <w:r>
        <w:rPr>
          <w:rFonts w:ascii="Calibri"/>
          <w:spacing w:val="-7"/>
        </w:rPr>
        <w:t> </w:t>
      </w:r>
      <w:r>
        <w:rPr>
          <w:rFonts w:ascii="Calibri"/>
        </w:rPr>
        <w:t>income.</w:t>
      </w:r>
      <w:r>
        <w:rPr>
          <w:rFonts w:ascii="Calibri"/>
          <w:spacing w:val="-7"/>
        </w:rPr>
        <w:t> </w:t>
      </w:r>
      <w:r>
        <w:rPr>
          <w:rFonts w:ascii="Calibri"/>
        </w:rPr>
        <w:t>By</w:t>
      </w:r>
      <w:r>
        <w:rPr>
          <w:rFonts w:ascii="Calibri"/>
          <w:spacing w:val="-7"/>
        </w:rPr>
        <w:t> </w:t>
      </w:r>
      <w:r>
        <w:rPr>
          <w:rFonts w:ascii="Calibri"/>
        </w:rPr>
        <w:t>breaking</w:t>
      </w:r>
      <w:r>
        <w:rPr>
          <w:rFonts w:ascii="Calibri"/>
          <w:spacing w:val="-7"/>
        </w:rPr>
        <w:t> </w:t>
      </w:r>
      <w:r>
        <w:rPr>
          <w:rFonts w:ascii="Calibri"/>
        </w:rPr>
        <w:t>down</w:t>
      </w:r>
      <w:r>
        <w:rPr>
          <w:rFonts w:ascii="Calibri"/>
          <w:spacing w:val="-7"/>
        </w:rPr>
        <w:t> </w:t>
      </w:r>
      <w:r>
        <w:rPr>
          <w:rFonts w:ascii="Calibri"/>
        </w:rPr>
        <w:t>complex</w:t>
      </w:r>
      <w:r>
        <w:rPr>
          <w:rFonts w:ascii="Calibri"/>
          <w:spacing w:val="-7"/>
        </w:rPr>
        <w:t> </w:t>
      </w:r>
      <w:r>
        <w:rPr>
          <w:rFonts w:ascii="Calibri"/>
        </w:rPr>
        <w:t>personal finance into three distinct categories, the presentation helped demystify how to balance immediate needs with long-term financial health.</w:t>
      </w:r>
    </w:p>
    <w:p>
      <w:pPr>
        <w:pStyle w:val="BodyText"/>
        <w:spacing w:before="139"/>
        <w:rPr>
          <w:rFonts w:ascii="Calibri"/>
        </w:rPr>
      </w:pPr>
    </w:p>
    <w:p>
      <w:pPr>
        <w:pStyle w:val="Heading1"/>
        <w:spacing w:before="1"/>
        <w:jc w:val="both"/>
      </w:pPr>
      <w:r>
        <w:rPr/>
        <w:t>Description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Activity</w:t>
      </w:r>
    </w:p>
    <w:p>
      <w:pPr>
        <w:pStyle w:val="BodyText"/>
        <w:ind w:right="1440"/>
        <w:jc w:val="both"/>
      </w:pPr>
      <w:r>
        <w:rPr/>
        <w:t>The core of the session focused on the first and largest category: 50% for Needs. Students learned to identify</w:t>
      </w:r>
      <w:r>
        <w:rPr>
          <w:spacing w:val="80"/>
        </w:rPr>
        <w:t> </w:t>
      </w:r>
      <w:r>
        <w:rPr/>
        <w:t>essential</w:t>
      </w:r>
      <w:r>
        <w:rPr>
          <w:spacing w:val="80"/>
        </w:rPr>
        <w:t> </w:t>
      </w:r>
      <w:r>
        <w:rPr/>
        <w:t>expenses—such</w:t>
      </w:r>
      <w:r>
        <w:rPr>
          <w:spacing w:val="80"/>
        </w:rPr>
        <w:t> </w:t>
      </w:r>
      <w:r>
        <w:rPr/>
        <w:t>as</w:t>
      </w:r>
      <w:r>
        <w:rPr>
          <w:spacing w:val="80"/>
        </w:rPr>
        <w:t> </w:t>
      </w:r>
      <w:r>
        <w:rPr/>
        <w:t>housing,</w:t>
      </w:r>
      <w:r>
        <w:rPr>
          <w:spacing w:val="80"/>
        </w:rPr>
        <w:t> </w:t>
      </w:r>
      <w:r>
        <w:rPr/>
        <w:t>groceries,</w:t>
      </w:r>
      <w:r>
        <w:rPr>
          <w:spacing w:val="80"/>
        </w:rPr>
        <w:t> </w:t>
      </w:r>
      <w:r>
        <w:rPr/>
        <w:t>utilities,</w:t>
      </w:r>
      <w:r>
        <w:rPr>
          <w:spacing w:val="80"/>
        </w:rPr>
        <w:t> </w:t>
      </w:r>
      <w:r>
        <w:rPr/>
        <w:t>and</w:t>
      </w:r>
      <w:r>
        <w:rPr>
          <w:spacing w:val="80"/>
        </w:rPr>
        <w:t> </w:t>
      </w:r>
      <w:r>
        <w:rPr/>
        <w:t>transportation—that</w:t>
      </w:r>
      <w:r>
        <w:rPr>
          <w:spacing w:val="80"/>
        </w:rPr>
        <w:t> </w:t>
      </w:r>
      <w:r>
        <w:rPr/>
        <w:t>are non-negotiable for survival.The second half of the workshop explored the remaining 50% of the</w:t>
      </w:r>
      <w:r>
        <w:rPr>
          <w:spacing w:val="-3"/>
        </w:rPr>
        <w:t> </w:t>
      </w:r>
      <w:r>
        <w:rPr/>
        <w:t>budget, split between 30% for Wants and 20% for Savings and Debt Repayment.</w:t>
      </w:r>
    </w:p>
    <w:p>
      <w:pPr>
        <w:pStyle w:val="Heading1"/>
        <w:spacing w:before="253"/>
        <w:jc w:val="both"/>
      </w:pPr>
      <w:r>
        <w:rPr/>
        <w:t>Outcome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2"/>
        </w:rPr>
        <w:t>Activity</w:t>
      </w:r>
    </w:p>
    <w:p>
      <w:pPr>
        <w:pStyle w:val="BodyText"/>
        <w:ind w:right="1445"/>
        <w:jc w:val="both"/>
      </w:pPr>
      <w:r>
        <w:rPr/>
        <w:t>Students engaged in a lively debate over the "Want vs. Need" distinction, such as a basic phone plan versus the latest smartphone upgrade. We emphasized that the 20% allocated to</w:t>
      </w:r>
      <w:r>
        <w:rPr>
          <w:spacing w:val="-4"/>
        </w:rPr>
        <w:t> </w:t>
      </w:r>
      <w:r>
        <w:rPr/>
        <w:t>savings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just</w:t>
      </w:r>
      <w:r>
        <w:rPr>
          <w:spacing w:val="-4"/>
        </w:rPr>
        <w:t> </w:t>
      </w:r>
      <w:r>
        <w:rPr/>
        <w:t>"extra money" but a "payment to your future self," intended for emergency funds, retirement, or investing.</w:t>
      </w:r>
    </w:p>
    <w:p>
      <w:pPr>
        <w:pStyle w:val="Heading1"/>
        <w:spacing w:before="253"/>
      </w:pPr>
      <w:r>
        <w:rPr>
          <w:spacing w:val="-2"/>
        </w:rPr>
        <w:t>Conclusion</w:t>
      </w:r>
    </w:p>
    <w:p>
      <w:pPr>
        <w:pStyle w:val="BodyText"/>
        <w:ind w:right="1441"/>
        <w:jc w:val="both"/>
      </w:pPr>
      <w:r>
        <w:rPr/>
        <w:t>The</w:t>
      </w:r>
      <w:r>
        <w:rPr>
          <w:spacing w:val="40"/>
        </w:rPr>
        <w:t> </w:t>
      </w:r>
      <w:r>
        <w:rPr/>
        <w:t>session concluded with a practical demonstration of how this ratio provides flexibility across different income levels. By the end 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30-minute</w:t>
      </w:r>
      <w:r>
        <w:rPr>
          <w:spacing w:val="-4"/>
        </w:rPr>
        <w:t> </w:t>
      </w:r>
      <w:r>
        <w:rPr/>
        <w:t>meeting,</w:t>
      </w:r>
      <w:r>
        <w:rPr>
          <w:spacing w:val="-4"/>
        </w:rPr>
        <w:t> </w:t>
      </w:r>
      <w:r>
        <w:rPr/>
        <w:t>participants</w:t>
      </w:r>
      <w:r>
        <w:rPr>
          <w:spacing w:val="-4"/>
        </w:rPr>
        <w:t> </w:t>
      </w:r>
      <w:r>
        <w:rPr/>
        <w:t>understood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budgeting</w:t>
      </w:r>
      <w:r>
        <w:rPr>
          <w:spacing w:val="-4"/>
        </w:rPr>
        <w:t> </w:t>
      </w:r>
      <w:r>
        <w:rPr/>
        <w:t>isn't about restriction, but about intentional spending. Students left the</w:t>
      </w:r>
      <w:r>
        <w:rPr>
          <w:spacing w:val="-3"/>
        </w:rPr>
        <w:t> </w:t>
      </w:r>
      <w:r>
        <w:rPr/>
        <w:t>club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clear</w:t>
      </w:r>
      <w:r>
        <w:rPr>
          <w:spacing w:val="-3"/>
        </w:rPr>
        <w:t> </w:t>
      </w:r>
      <w:r>
        <w:rPr/>
        <w:t>template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help</w:t>
      </w:r>
      <w:r>
        <w:rPr>
          <w:spacing w:val="-3"/>
        </w:rPr>
        <w:t> </w:t>
      </w:r>
      <w:r>
        <w:rPr/>
        <w:t>them prioritize their financial goals and avoid the common pitfall of "lifestyle creep" as their future earnings </w:t>
      </w:r>
      <w:r>
        <w:rPr>
          <w:spacing w:val="-2"/>
        </w:rPr>
        <w:t>grow.</w:t>
      </w:r>
    </w:p>
    <w:sectPr>
      <w:pgSz w:w="12240" w:h="15840"/>
      <w:pgMar w:header="587" w:footer="0" w:top="1900" w:bottom="280" w:left="14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7936">
          <wp:simplePos x="0" y="0"/>
          <wp:positionH relativeFrom="page">
            <wp:posOffset>1193692</wp:posOffset>
          </wp:positionH>
          <wp:positionV relativeFrom="page">
            <wp:posOffset>372462</wp:posOffset>
          </wp:positionV>
          <wp:extent cx="5414720" cy="83442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14720" cy="834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94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 DECEMBER 2025 THE BALANCED BUDGET.docx</dc:title>
  <dcterms:created xsi:type="dcterms:W3CDTF">2026-02-03T06:52:24Z</dcterms:created>
  <dcterms:modified xsi:type="dcterms:W3CDTF">2026-02-03T06:52:24Z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Producer">
    <vt:lpwstr>Skia/PDF m146 Google Docs Renderer</vt:lpwstr>
  </property>
  <property fmtid="{D5CDD505-2E9C-101B-9397-08002B2CF9AE}" pid="4" name="LastSaved">
    <vt:filetime>2026-02-03T00:00:00Z</vt:filetime>
  </property>
</Properties>
</file>